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C0E1B" w14:textId="0193D209" w:rsidR="00C664AE" w:rsidRDefault="00C664AE" w:rsidP="00C664AE">
      <w:pPr>
        <w:jc w:val="center"/>
        <w:rPr>
          <w:b/>
        </w:rPr>
      </w:pPr>
      <w:r>
        <w:rPr>
          <w:noProof/>
        </w:rPr>
        <w:drawing>
          <wp:inline distT="0" distB="0" distL="0" distR="0" wp14:anchorId="5BD74948" wp14:editId="1296E0E8">
            <wp:extent cx="3088977" cy="6556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686" t="27848" r="9581" b="22574"/>
                    <a:stretch/>
                  </pic:blipFill>
                  <pic:spPr bwMode="auto">
                    <a:xfrm>
                      <a:off x="0" y="0"/>
                      <a:ext cx="3117576" cy="661717"/>
                    </a:xfrm>
                    <a:prstGeom prst="rect">
                      <a:avLst/>
                    </a:prstGeom>
                    <a:noFill/>
                    <a:ln>
                      <a:noFill/>
                    </a:ln>
                    <a:extLst>
                      <a:ext uri="{53640926-AAD7-44D8-BBD7-CCE9431645EC}">
                        <a14:shadowObscured xmlns:a14="http://schemas.microsoft.com/office/drawing/2010/main"/>
                      </a:ext>
                    </a:extLst>
                  </pic:spPr>
                </pic:pic>
              </a:graphicData>
            </a:graphic>
          </wp:inline>
        </w:drawing>
      </w:r>
    </w:p>
    <w:p w14:paraId="6BD78314" w14:textId="75DD63AB" w:rsidR="00C664AE" w:rsidRDefault="00C664AE" w:rsidP="00630520">
      <w:pPr>
        <w:rPr>
          <w:b/>
        </w:rPr>
      </w:pPr>
    </w:p>
    <w:p w14:paraId="49458C29" w14:textId="77777777" w:rsidR="00C664AE" w:rsidRDefault="00C664AE" w:rsidP="00630520">
      <w:pPr>
        <w:rPr>
          <w:b/>
        </w:rPr>
      </w:pPr>
    </w:p>
    <w:p w14:paraId="005506E0" w14:textId="297E42DB" w:rsidR="00C95412" w:rsidRPr="00FB754A" w:rsidRDefault="00AC0E4B" w:rsidP="00630520">
      <w:pPr>
        <w:rPr>
          <w:rFonts w:cstheme="minorHAnsi"/>
          <w:b/>
          <w:sz w:val="28"/>
          <w:szCs w:val="28"/>
        </w:rPr>
      </w:pPr>
      <w:r w:rsidRPr="00FB754A">
        <w:rPr>
          <w:rFonts w:cstheme="minorHAnsi"/>
          <w:b/>
          <w:sz w:val="28"/>
          <w:szCs w:val="28"/>
        </w:rPr>
        <w:t xml:space="preserve">Simultaneously Driving </w:t>
      </w:r>
      <w:r w:rsidR="00C95412" w:rsidRPr="00FB754A">
        <w:rPr>
          <w:rFonts w:cstheme="minorHAnsi"/>
          <w:b/>
          <w:sz w:val="28"/>
          <w:szCs w:val="28"/>
        </w:rPr>
        <w:t>Maximal Performance</w:t>
      </w:r>
      <w:r w:rsidR="00630520" w:rsidRPr="00FB754A">
        <w:rPr>
          <w:rFonts w:cstheme="minorHAnsi"/>
          <w:b/>
          <w:sz w:val="28"/>
          <w:szCs w:val="28"/>
        </w:rPr>
        <w:t xml:space="preserve"> and Agility</w:t>
      </w:r>
      <w:r w:rsidRPr="00FB754A">
        <w:rPr>
          <w:rFonts w:cstheme="minorHAnsi"/>
          <w:b/>
          <w:sz w:val="28"/>
          <w:szCs w:val="28"/>
        </w:rPr>
        <w:t xml:space="preserve"> in Your Enterprise</w:t>
      </w:r>
    </w:p>
    <w:p w14:paraId="1B71D9F2" w14:textId="64ADB420" w:rsidR="00880BF6" w:rsidRDefault="00880BF6" w:rsidP="00C95412"/>
    <w:p w14:paraId="76E425A2" w14:textId="78E284E2" w:rsidR="001C49C7" w:rsidRPr="00905CFA" w:rsidRDefault="00E30D6B" w:rsidP="00C95412">
      <w:pPr>
        <w:rPr>
          <w:rFonts w:cstheme="minorHAnsi"/>
        </w:rPr>
      </w:pPr>
      <w:r w:rsidRPr="00905CFA">
        <w:rPr>
          <w:rFonts w:cstheme="minorHAnsi"/>
        </w:rPr>
        <w:t xml:space="preserve">Sustainable high performance is a </w:t>
      </w:r>
      <w:r w:rsidR="005D1C08" w:rsidRPr="00905CFA">
        <w:rPr>
          <w:rFonts w:cstheme="minorHAnsi"/>
        </w:rPr>
        <w:t xml:space="preserve">goal </w:t>
      </w:r>
      <w:r w:rsidRPr="00905CFA">
        <w:rPr>
          <w:rFonts w:cstheme="minorHAnsi"/>
        </w:rPr>
        <w:t>that every modern business seeks</w:t>
      </w:r>
      <w:r w:rsidR="00106F78" w:rsidRPr="00905CFA">
        <w:rPr>
          <w:rFonts w:cstheme="minorHAnsi"/>
        </w:rPr>
        <w:t xml:space="preserve">—but </w:t>
      </w:r>
      <w:r w:rsidRPr="00905CFA">
        <w:rPr>
          <w:rFonts w:cstheme="minorHAnsi"/>
        </w:rPr>
        <w:t xml:space="preserve">few ever achieve. </w:t>
      </w:r>
      <w:r w:rsidR="00106F78" w:rsidRPr="00905CFA">
        <w:rPr>
          <w:rFonts w:cstheme="minorHAnsi"/>
        </w:rPr>
        <w:t xml:space="preserve">Today, despite (or because of) relentlessly advancing digital technology, sustainable high performance is growing still more elusive: </w:t>
      </w:r>
      <w:r w:rsidR="00C664AE" w:rsidRPr="00905CFA">
        <w:rPr>
          <w:rFonts w:cstheme="minorHAnsi"/>
        </w:rPr>
        <w:t>a</w:t>
      </w:r>
      <w:r w:rsidR="00106F78" w:rsidRPr="00905CFA">
        <w:rPr>
          <w:rFonts w:cstheme="minorHAnsi"/>
        </w:rPr>
        <w:t xml:space="preserve">s </w:t>
      </w:r>
      <w:hyperlink r:id="rId6" w:history="1">
        <w:r w:rsidR="00106F78" w:rsidRPr="00905CFA">
          <w:rPr>
            <w:rStyle w:val="Hyperlink"/>
            <w:rFonts w:cstheme="minorHAnsi"/>
          </w:rPr>
          <w:t>noted by the American Enterprise Institute</w:t>
        </w:r>
      </w:hyperlink>
      <w:r w:rsidR="00106F78" w:rsidRPr="00905CFA">
        <w:rPr>
          <w:rFonts w:cstheme="minorHAnsi"/>
        </w:rPr>
        <w:t>, only 60 of the original 1955 Fortune 500 were still on the 2017 list—an 88% mortality rate</w:t>
      </w:r>
      <w:r w:rsidR="0092373B" w:rsidRPr="00905CFA">
        <w:rPr>
          <w:rFonts w:cstheme="minorHAnsi"/>
        </w:rPr>
        <w:t xml:space="preserve">. Further, </w:t>
      </w:r>
      <w:r w:rsidR="00106F78" w:rsidRPr="00905CFA">
        <w:rPr>
          <w:rFonts w:cstheme="minorHAnsi"/>
        </w:rPr>
        <w:t>the average life expectancy of an S&amp;P 500 listing fell from 33 years in 1965 to 20 in 1990, and is projected to reach 14 by 2026.</w:t>
      </w:r>
      <w:r w:rsidR="00E86860" w:rsidRPr="00905CFA">
        <w:rPr>
          <w:rFonts w:cstheme="minorHAnsi"/>
        </w:rPr>
        <w:t xml:space="preserve"> The </w:t>
      </w:r>
      <w:r w:rsidR="00FD239C" w:rsidRPr="00905CFA">
        <w:rPr>
          <w:rFonts w:cstheme="minorHAnsi"/>
        </w:rPr>
        <w:t xml:space="preserve">average </w:t>
      </w:r>
      <w:r w:rsidR="00E86860" w:rsidRPr="00905CFA">
        <w:rPr>
          <w:rFonts w:cstheme="minorHAnsi"/>
        </w:rPr>
        <w:t>enterprise’s sustainable life cycle has shortened dramatically, due to the impact of constant change.</w:t>
      </w:r>
    </w:p>
    <w:p w14:paraId="64115D58" w14:textId="0936EEE9" w:rsidR="001C49C7" w:rsidRPr="00905CFA" w:rsidRDefault="001C49C7" w:rsidP="00C95412">
      <w:pPr>
        <w:rPr>
          <w:rFonts w:cstheme="minorHAnsi"/>
        </w:rPr>
      </w:pPr>
    </w:p>
    <w:p w14:paraId="1B781060" w14:textId="5E22F215" w:rsidR="001C49C7" w:rsidRPr="00905CFA" w:rsidRDefault="00AD419A" w:rsidP="00C95412">
      <w:pPr>
        <w:rPr>
          <w:rFonts w:cstheme="minorHAnsi"/>
        </w:rPr>
      </w:pPr>
      <w:r w:rsidRPr="00905CFA">
        <w:rPr>
          <w:rFonts w:cstheme="minorHAnsi"/>
        </w:rPr>
        <w:t xml:space="preserve">In exploring why the challenge of sustaining a high performance enterprise is getting harder, </w:t>
      </w:r>
      <w:r w:rsidR="001B183A" w:rsidRPr="00905CFA">
        <w:rPr>
          <w:rFonts w:cstheme="minorHAnsi"/>
        </w:rPr>
        <w:t xml:space="preserve">a </w:t>
      </w:r>
      <w:r w:rsidRPr="00905CFA">
        <w:rPr>
          <w:rFonts w:cstheme="minorHAnsi"/>
        </w:rPr>
        <w:t xml:space="preserve">McKinsey &amp; Company analysis </w:t>
      </w:r>
      <w:r w:rsidR="001B183A" w:rsidRPr="00905CFA">
        <w:rPr>
          <w:rFonts w:cstheme="minorHAnsi"/>
        </w:rPr>
        <w:t>suggests</w:t>
      </w:r>
      <w:r w:rsidRPr="00905CFA">
        <w:rPr>
          <w:rFonts w:cstheme="minorHAnsi"/>
        </w:rPr>
        <w:t xml:space="preserve"> that modern enterprises are failing F. Scott Fitzgerald’s famous “</w:t>
      </w:r>
      <w:hyperlink r:id="rId7" w:history="1">
        <w:r w:rsidRPr="00905CFA">
          <w:rPr>
            <w:rStyle w:val="Hyperlink"/>
            <w:rFonts w:cstheme="minorHAnsi"/>
          </w:rPr>
          <w:t>test of a first-rate intelligence</w:t>
        </w:r>
      </w:hyperlink>
      <w:r w:rsidR="00750D11" w:rsidRPr="00905CFA">
        <w:rPr>
          <w:rFonts w:cstheme="minorHAnsi"/>
        </w:rPr>
        <w:t>,</w:t>
      </w:r>
      <w:r w:rsidRPr="00905CFA">
        <w:rPr>
          <w:rFonts w:cstheme="minorHAnsi"/>
        </w:rPr>
        <w:t>”</w:t>
      </w:r>
      <w:r w:rsidR="00750D11" w:rsidRPr="00905CFA">
        <w:rPr>
          <w:rFonts w:cstheme="minorHAnsi"/>
        </w:rPr>
        <w:t xml:space="preserve"> namely,</w:t>
      </w:r>
      <w:r w:rsidR="00827A1E" w:rsidRPr="00905CFA">
        <w:rPr>
          <w:rFonts w:cstheme="minorHAnsi"/>
        </w:rPr>
        <w:t xml:space="preserve"> </w:t>
      </w:r>
      <w:r w:rsidRPr="00905CFA">
        <w:rPr>
          <w:rFonts w:cstheme="minorHAnsi"/>
        </w:rPr>
        <w:t xml:space="preserve">“the ability to hold two opposed ideas in the mind at the same time, and still retain the ability to function.” </w:t>
      </w:r>
    </w:p>
    <w:p w14:paraId="1438859B" w14:textId="40D3DB0F" w:rsidR="007A3280" w:rsidRPr="00905CFA" w:rsidRDefault="007A3280" w:rsidP="00C95412">
      <w:pPr>
        <w:rPr>
          <w:rFonts w:cstheme="minorHAnsi"/>
        </w:rPr>
      </w:pPr>
    </w:p>
    <w:p w14:paraId="74397C05" w14:textId="59976538" w:rsidR="00AD419A" w:rsidRPr="00905CFA" w:rsidRDefault="00AD419A" w:rsidP="00C95412">
      <w:pPr>
        <w:rPr>
          <w:rFonts w:cstheme="minorHAnsi"/>
        </w:rPr>
      </w:pPr>
      <w:r w:rsidRPr="00905CFA">
        <w:rPr>
          <w:rFonts w:cstheme="minorHAnsi"/>
        </w:rPr>
        <w:t>Nowadays, according to McKinsey, sustaining high performance requires agility, and agility can be achieved only by organizations that master</w:t>
      </w:r>
      <w:r w:rsidR="00AE0396" w:rsidRPr="00905CFA">
        <w:rPr>
          <w:rFonts w:cstheme="minorHAnsi"/>
        </w:rPr>
        <w:t xml:space="preserve"> a confounding paradox: </w:t>
      </w:r>
      <w:r w:rsidR="0020496E">
        <w:rPr>
          <w:rFonts w:cstheme="minorHAnsi"/>
        </w:rPr>
        <w:t>t</w:t>
      </w:r>
      <w:bookmarkStart w:id="0" w:name="_GoBack"/>
      <w:bookmarkEnd w:id="0"/>
      <w:r w:rsidRPr="00905CFA">
        <w:rPr>
          <w:rFonts w:cstheme="minorHAnsi"/>
        </w:rPr>
        <w:t xml:space="preserve">hey are </w:t>
      </w:r>
      <w:r w:rsidR="00AE0396" w:rsidRPr="00905CFA">
        <w:rPr>
          <w:rFonts w:cstheme="minorHAnsi"/>
        </w:rPr>
        <w:t>“</w:t>
      </w:r>
      <w:hyperlink r:id="rId8" w:anchor="0" w:history="1">
        <w:r w:rsidRPr="00905CFA">
          <w:rPr>
            <w:rStyle w:val="Hyperlink"/>
            <w:rFonts w:cstheme="minorHAnsi"/>
          </w:rPr>
          <w:t>both stable and dynamic at the same time</w:t>
        </w:r>
      </w:hyperlink>
      <w:r w:rsidRPr="00905CFA">
        <w:rPr>
          <w:rFonts w:cstheme="minorHAnsi"/>
        </w:rPr>
        <w:t>.</w:t>
      </w:r>
      <w:r w:rsidR="00AE0396" w:rsidRPr="00905CFA">
        <w:rPr>
          <w:rFonts w:cstheme="minorHAnsi"/>
        </w:rPr>
        <w:t>”</w:t>
      </w:r>
      <w:r w:rsidRPr="00905CFA">
        <w:rPr>
          <w:rFonts w:cstheme="minorHAnsi"/>
        </w:rPr>
        <w:t xml:space="preserve"> </w:t>
      </w:r>
      <w:r w:rsidR="00AE0396" w:rsidRPr="00905CFA">
        <w:rPr>
          <w:rFonts w:cstheme="minorHAnsi"/>
        </w:rPr>
        <w:t>They have “standardized ways of working” and a “performance orientation,” yet they are adept</w:t>
      </w:r>
      <w:r w:rsidR="00BA6B42" w:rsidRPr="00905CFA">
        <w:rPr>
          <w:rFonts w:cstheme="minorHAnsi"/>
        </w:rPr>
        <w:t xml:space="preserve"> at</w:t>
      </w:r>
      <w:r w:rsidR="00AE0396" w:rsidRPr="00905CFA">
        <w:rPr>
          <w:rFonts w:cstheme="minorHAnsi"/>
        </w:rPr>
        <w:t xml:space="preserve"> “sensing and seizing opportunities” and “flexible resource allocation.” In a nutshell, “</w:t>
      </w:r>
      <w:r w:rsidR="006B7EAE">
        <w:rPr>
          <w:rFonts w:cstheme="minorHAnsi"/>
        </w:rPr>
        <w:t>t</w:t>
      </w:r>
      <w:r w:rsidRPr="00905CFA">
        <w:rPr>
          <w:rFonts w:cstheme="minorHAnsi"/>
        </w:rPr>
        <w:t>hey design stable backbone elements that evolve slowly and support dynamic capabilities that can adapt quickly to new challenges and opportunities.</w:t>
      </w:r>
      <w:r w:rsidR="00AE0396" w:rsidRPr="00905CFA">
        <w:rPr>
          <w:rFonts w:cstheme="minorHAnsi"/>
        </w:rPr>
        <w:t>”</w:t>
      </w:r>
    </w:p>
    <w:p w14:paraId="019AF55D" w14:textId="30C39520" w:rsidR="00AE0396" w:rsidRPr="00905CFA" w:rsidRDefault="00AE0396" w:rsidP="00C95412">
      <w:pPr>
        <w:rPr>
          <w:rFonts w:cstheme="minorHAnsi"/>
        </w:rPr>
      </w:pPr>
    </w:p>
    <w:p w14:paraId="5A3CCA23" w14:textId="0855606A" w:rsidR="00AE0396" w:rsidRPr="00905CFA" w:rsidRDefault="0020496E" w:rsidP="00C95412">
      <w:pPr>
        <w:rPr>
          <w:rFonts w:cstheme="minorHAnsi"/>
        </w:rPr>
      </w:pPr>
      <w:hyperlink r:id="rId9" w:history="1">
        <w:r w:rsidR="00757FF9" w:rsidRPr="00905CFA">
          <w:rPr>
            <w:rStyle w:val="Hyperlink"/>
            <w:rFonts w:cstheme="minorHAnsi"/>
          </w:rPr>
          <w:t>Version 2.0 of the CMMI Institute’s Capability Maturity Model Integration (CMMI) performance-improvement model</w:t>
        </w:r>
      </w:hyperlink>
      <w:r w:rsidR="00757FF9" w:rsidRPr="00905CFA">
        <w:rPr>
          <w:rFonts w:cstheme="minorHAnsi"/>
        </w:rPr>
        <w:t xml:space="preserve"> may well be the framework that digital-age enterprises </w:t>
      </w:r>
      <w:r w:rsidR="004C1ABA" w:rsidRPr="00905CFA">
        <w:rPr>
          <w:rFonts w:cstheme="minorHAnsi"/>
        </w:rPr>
        <w:t xml:space="preserve">can </w:t>
      </w:r>
      <w:r w:rsidR="00757FF9" w:rsidRPr="00905CFA">
        <w:rPr>
          <w:rFonts w:cstheme="minorHAnsi"/>
        </w:rPr>
        <w:t>use to master th</w:t>
      </w:r>
      <w:r w:rsidR="004C1ABA" w:rsidRPr="00905CFA">
        <w:rPr>
          <w:rFonts w:cstheme="minorHAnsi"/>
        </w:rPr>
        <w:t>is</w:t>
      </w:r>
      <w:r w:rsidR="00757FF9" w:rsidRPr="00905CFA">
        <w:rPr>
          <w:rFonts w:cstheme="minorHAnsi"/>
        </w:rPr>
        <w:t xml:space="preserve"> sustainable high-performance paradox</w:t>
      </w:r>
      <w:r w:rsidR="00E86860" w:rsidRPr="00905CFA">
        <w:rPr>
          <w:rFonts w:cstheme="minorHAnsi"/>
        </w:rPr>
        <w:t>, to be both stable and dynamic at the same time</w:t>
      </w:r>
      <w:r w:rsidR="00757FF9" w:rsidRPr="00905CFA">
        <w:rPr>
          <w:rFonts w:cstheme="minorHAnsi"/>
        </w:rPr>
        <w:t xml:space="preserve">. </w:t>
      </w:r>
    </w:p>
    <w:p w14:paraId="4EF71977" w14:textId="7898C1D2" w:rsidR="00291234" w:rsidRPr="00905CFA" w:rsidRDefault="00291234" w:rsidP="00C95412">
      <w:pPr>
        <w:rPr>
          <w:rFonts w:cstheme="minorHAnsi"/>
        </w:rPr>
      </w:pPr>
    </w:p>
    <w:p w14:paraId="17507C18" w14:textId="28BA9E8F" w:rsidR="00291234" w:rsidRPr="00905CFA" w:rsidRDefault="00757FF9" w:rsidP="00C95412">
      <w:pPr>
        <w:rPr>
          <w:rFonts w:cstheme="minorHAnsi"/>
          <w:b/>
          <w:color w:val="000000" w:themeColor="text1"/>
        </w:rPr>
      </w:pPr>
      <w:r w:rsidRPr="00905CFA">
        <w:rPr>
          <w:rFonts w:cstheme="minorHAnsi"/>
          <w:b/>
          <w:color w:val="000000" w:themeColor="text1"/>
        </w:rPr>
        <w:t>CMMI V2.0 Philosophies and Tools Elevate Organizations</w:t>
      </w:r>
    </w:p>
    <w:p w14:paraId="1A618B2D" w14:textId="77777777" w:rsidR="00E439AB" w:rsidRPr="00905CFA" w:rsidRDefault="00E439AB" w:rsidP="00C95412">
      <w:pPr>
        <w:rPr>
          <w:rFonts w:cstheme="minorHAnsi"/>
          <w:b/>
          <w:color w:val="000000" w:themeColor="text1"/>
        </w:rPr>
      </w:pPr>
    </w:p>
    <w:p w14:paraId="592291AA" w14:textId="1FA39DC8" w:rsidR="00757FF9" w:rsidRPr="00905CFA" w:rsidRDefault="00757FF9" w:rsidP="00BB6C5D">
      <w:pPr>
        <w:autoSpaceDE w:val="0"/>
        <w:autoSpaceDN w:val="0"/>
        <w:adjustRightInd w:val="0"/>
        <w:rPr>
          <w:rFonts w:cstheme="minorHAnsi"/>
          <w:color w:val="000000" w:themeColor="text1"/>
        </w:rPr>
      </w:pPr>
      <w:r w:rsidRPr="00905CFA">
        <w:rPr>
          <w:rFonts w:cstheme="minorHAnsi"/>
          <w:color w:val="000000" w:themeColor="text1"/>
        </w:rPr>
        <w:t xml:space="preserve">The designers of CMMI V2.0 were determined to migrate the framework from its “process-improvement” </w:t>
      </w:r>
      <w:r w:rsidR="00696889" w:rsidRPr="00905CFA">
        <w:rPr>
          <w:rFonts w:cstheme="minorHAnsi"/>
          <w:color w:val="000000" w:themeColor="text1"/>
        </w:rPr>
        <w:t xml:space="preserve">philosophy origins </w:t>
      </w:r>
      <w:r w:rsidRPr="00905CFA">
        <w:rPr>
          <w:rFonts w:cstheme="minorHAnsi"/>
          <w:color w:val="000000" w:themeColor="text1"/>
        </w:rPr>
        <w:t xml:space="preserve">to a </w:t>
      </w:r>
      <w:r w:rsidR="00696889" w:rsidRPr="00905CFA">
        <w:rPr>
          <w:rFonts w:cstheme="minorHAnsi"/>
          <w:color w:val="000000" w:themeColor="text1"/>
        </w:rPr>
        <w:t xml:space="preserve">true </w:t>
      </w:r>
      <w:r w:rsidRPr="00905CFA">
        <w:rPr>
          <w:rFonts w:cstheme="minorHAnsi"/>
          <w:color w:val="000000" w:themeColor="text1"/>
        </w:rPr>
        <w:t xml:space="preserve">“performance-improvement” </w:t>
      </w:r>
      <w:r w:rsidR="00696889" w:rsidRPr="00905CFA">
        <w:rPr>
          <w:rFonts w:cstheme="minorHAnsi"/>
          <w:color w:val="000000" w:themeColor="text1"/>
        </w:rPr>
        <w:t>philosophy</w:t>
      </w:r>
      <w:r w:rsidRPr="00905CFA">
        <w:rPr>
          <w:rFonts w:cstheme="minorHAnsi"/>
          <w:color w:val="000000" w:themeColor="text1"/>
        </w:rPr>
        <w:t>.</w:t>
      </w:r>
      <w:r w:rsidR="00696889" w:rsidRPr="00905CFA">
        <w:rPr>
          <w:rFonts w:cstheme="minorHAnsi"/>
          <w:color w:val="000000" w:themeColor="text1"/>
        </w:rPr>
        <w:t xml:space="preserve"> </w:t>
      </w:r>
      <w:r w:rsidR="006A7735" w:rsidRPr="00905CFA">
        <w:rPr>
          <w:rFonts w:cstheme="minorHAnsi"/>
          <w:color w:val="000000" w:themeColor="text1"/>
        </w:rPr>
        <w:t>In so doing</w:t>
      </w:r>
      <w:r w:rsidR="00CF5B4E" w:rsidRPr="00905CFA">
        <w:rPr>
          <w:rFonts w:cstheme="minorHAnsi"/>
          <w:color w:val="000000" w:themeColor="text1"/>
        </w:rPr>
        <w:t xml:space="preserve">, </w:t>
      </w:r>
      <w:r w:rsidR="006A7735" w:rsidRPr="00905CFA">
        <w:rPr>
          <w:rFonts w:cstheme="minorHAnsi"/>
          <w:color w:val="000000" w:themeColor="text1"/>
        </w:rPr>
        <w:t xml:space="preserve">they built the solution to McKinsey’s high-performance paradox into the heart of V2.0.  </w:t>
      </w:r>
      <w:r w:rsidRPr="00905CFA">
        <w:rPr>
          <w:rFonts w:cstheme="minorHAnsi"/>
          <w:color w:val="000000" w:themeColor="text1"/>
        </w:rPr>
        <w:t xml:space="preserve">  </w:t>
      </w:r>
    </w:p>
    <w:p w14:paraId="59E5EFFE" w14:textId="17BA2DD3" w:rsidR="00757FF9" w:rsidRPr="00905CFA" w:rsidRDefault="00757FF9" w:rsidP="00BB6C5D">
      <w:pPr>
        <w:autoSpaceDE w:val="0"/>
        <w:autoSpaceDN w:val="0"/>
        <w:adjustRightInd w:val="0"/>
        <w:rPr>
          <w:rFonts w:cstheme="minorHAnsi"/>
          <w:color w:val="000000" w:themeColor="text1"/>
        </w:rPr>
      </w:pPr>
    </w:p>
    <w:p w14:paraId="291C33A2" w14:textId="2B24EBCE" w:rsidR="00E926A8" w:rsidRPr="00905CFA" w:rsidRDefault="0063435D" w:rsidP="00BB6C5D">
      <w:pPr>
        <w:autoSpaceDE w:val="0"/>
        <w:autoSpaceDN w:val="0"/>
        <w:adjustRightInd w:val="0"/>
        <w:rPr>
          <w:rFonts w:cstheme="minorHAnsi"/>
          <w:color w:val="000000" w:themeColor="text1"/>
        </w:rPr>
      </w:pPr>
      <w:r w:rsidRPr="00905CFA">
        <w:rPr>
          <w:rFonts w:cstheme="minorHAnsi"/>
          <w:color w:val="000000" w:themeColor="text1"/>
        </w:rPr>
        <w:t xml:space="preserve">Here’s how the </w:t>
      </w:r>
      <w:r w:rsidR="00CF5B4E" w:rsidRPr="00905CFA">
        <w:rPr>
          <w:rFonts w:cstheme="minorHAnsi"/>
          <w:color w:val="000000" w:themeColor="text1"/>
        </w:rPr>
        <w:t xml:space="preserve">CMMI V2.0 </w:t>
      </w:r>
      <w:r w:rsidRPr="00905CFA">
        <w:rPr>
          <w:rFonts w:cstheme="minorHAnsi"/>
          <w:color w:val="000000" w:themeColor="text1"/>
        </w:rPr>
        <w:t>model works</w:t>
      </w:r>
      <w:r w:rsidR="00E926A8" w:rsidRPr="00905CFA">
        <w:rPr>
          <w:rFonts w:cstheme="minorHAnsi"/>
          <w:color w:val="000000" w:themeColor="text1"/>
        </w:rPr>
        <w:t>:</w:t>
      </w:r>
      <w:r w:rsidRPr="00905CFA">
        <w:rPr>
          <w:rFonts w:cstheme="minorHAnsi"/>
          <w:color w:val="000000" w:themeColor="text1"/>
        </w:rPr>
        <w:t xml:space="preserve"> </w:t>
      </w:r>
    </w:p>
    <w:p w14:paraId="427708FD" w14:textId="77777777" w:rsidR="00E439AB" w:rsidRPr="00905CFA" w:rsidRDefault="00E439AB" w:rsidP="00BB6C5D">
      <w:pPr>
        <w:autoSpaceDE w:val="0"/>
        <w:autoSpaceDN w:val="0"/>
        <w:adjustRightInd w:val="0"/>
        <w:rPr>
          <w:rFonts w:cstheme="minorHAnsi"/>
          <w:color w:val="000000" w:themeColor="text1"/>
        </w:rPr>
      </w:pPr>
    </w:p>
    <w:p w14:paraId="2C0B7ABF" w14:textId="64A6C136" w:rsidR="00E926A8" w:rsidRPr="00905CFA" w:rsidRDefault="00AE24E1" w:rsidP="00E926A8">
      <w:pPr>
        <w:pStyle w:val="ListParagraph"/>
        <w:numPr>
          <w:ilvl w:val="0"/>
          <w:numId w:val="1"/>
        </w:numPr>
        <w:autoSpaceDE w:val="0"/>
        <w:autoSpaceDN w:val="0"/>
        <w:adjustRightInd w:val="0"/>
        <w:rPr>
          <w:rFonts w:cstheme="minorHAnsi"/>
          <w:color w:val="000000" w:themeColor="text1"/>
        </w:rPr>
      </w:pPr>
      <w:r w:rsidRPr="00905CFA">
        <w:rPr>
          <w:rFonts w:cstheme="minorHAnsi"/>
          <w:b/>
          <w:color w:val="000000" w:themeColor="text1"/>
        </w:rPr>
        <w:t>Practice Statements:</w:t>
      </w:r>
      <w:r w:rsidRPr="00905CFA">
        <w:rPr>
          <w:rFonts w:cstheme="minorHAnsi"/>
          <w:color w:val="000000" w:themeColor="text1"/>
        </w:rPr>
        <w:t xml:space="preserve"> The model’s </w:t>
      </w:r>
      <w:r w:rsidR="0063435D" w:rsidRPr="00905CFA">
        <w:rPr>
          <w:rFonts w:cstheme="minorHAnsi"/>
          <w:color w:val="000000" w:themeColor="text1"/>
        </w:rPr>
        <w:t xml:space="preserve">core is a proven set of </w:t>
      </w:r>
      <w:r w:rsidR="00CF5B4E" w:rsidRPr="00905CFA">
        <w:rPr>
          <w:rFonts w:cstheme="minorHAnsi"/>
          <w:color w:val="000000" w:themeColor="text1"/>
        </w:rPr>
        <w:t xml:space="preserve">more than 225 (and growing) </w:t>
      </w:r>
      <w:r w:rsidR="0063435D" w:rsidRPr="00905CFA">
        <w:rPr>
          <w:rFonts w:cstheme="minorHAnsi"/>
          <w:color w:val="000000" w:themeColor="text1"/>
        </w:rPr>
        <w:t xml:space="preserve">global best practices known to improve business performance. They’re written as practice statements that describe specific capabilities necessary for things like planning, </w:t>
      </w:r>
      <w:r w:rsidR="0063435D" w:rsidRPr="00905CFA">
        <w:rPr>
          <w:rFonts w:cstheme="minorHAnsi"/>
          <w:color w:val="000000" w:themeColor="text1"/>
        </w:rPr>
        <w:lastRenderedPageBreak/>
        <w:t xml:space="preserve">solving problems, governance, requirements development and </w:t>
      </w:r>
      <w:r w:rsidR="004C1ABA" w:rsidRPr="00905CFA">
        <w:rPr>
          <w:rFonts w:cstheme="minorHAnsi"/>
          <w:color w:val="000000" w:themeColor="text1"/>
        </w:rPr>
        <w:t xml:space="preserve">risk </w:t>
      </w:r>
      <w:r w:rsidR="0063435D" w:rsidRPr="00905CFA">
        <w:rPr>
          <w:rFonts w:cstheme="minorHAnsi"/>
          <w:color w:val="000000" w:themeColor="text1"/>
        </w:rPr>
        <w:t>management, quality</w:t>
      </w:r>
      <w:r w:rsidR="00CF5B4E" w:rsidRPr="00905CFA">
        <w:rPr>
          <w:rFonts w:cstheme="minorHAnsi"/>
          <w:color w:val="000000" w:themeColor="text1"/>
        </w:rPr>
        <w:t>,</w:t>
      </w:r>
      <w:r w:rsidR="0063435D" w:rsidRPr="00905CFA">
        <w:rPr>
          <w:rFonts w:cstheme="minorHAnsi"/>
          <w:color w:val="000000" w:themeColor="text1"/>
        </w:rPr>
        <w:t xml:space="preserve"> and many others. </w:t>
      </w:r>
      <w:r w:rsidR="00E926A8" w:rsidRPr="00905CFA">
        <w:rPr>
          <w:rFonts w:cstheme="minorHAnsi"/>
          <w:color w:val="000000" w:themeColor="text1"/>
        </w:rPr>
        <w:t xml:space="preserve">Each statement comes in five “maturity” levels of increasing difficulty. </w:t>
      </w:r>
      <w:r w:rsidR="00E86860" w:rsidRPr="00905CFA">
        <w:rPr>
          <w:rFonts w:cstheme="minorHAnsi"/>
          <w:color w:val="000000" w:themeColor="text1"/>
        </w:rPr>
        <w:t xml:space="preserve">Practitioners </w:t>
      </w:r>
      <w:r w:rsidR="0063435D" w:rsidRPr="00905CFA">
        <w:rPr>
          <w:rFonts w:cstheme="minorHAnsi"/>
          <w:color w:val="000000" w:themeColor="text1"/>
        </w:rPr>
        <w:t xml:space="preserve">in each area use </w:t>
      </w:r>
      <w:r w:rsidR="00E926A8" w:rsidRPr="00905CFA">
        <w:rPr>
          <w:rFonts w:cstheme="minorHAnsi"/>
          <w:color w:val="000000" w:themeColor="text1"/>
        </w:rPr>
        <w:t xml:space="preserve">the statements to </w:t>
      </w:r>
      <w:r w:rsidR="0063435D" w:rsidRPr="00905CFA">
        <w:rPr>
          <w:rFonts w:cstheme="minorHAnsi"/>
          <w:color w:val="000000" w:themeColor="text1"/>
        </w:rPr>
        <w:t xml:space="preserve">objectively determine </w:t>
      </w:r>
      <w:r w:rsidR="00CF5B4E" w:rsidRPr="00905CFA">
        <w:rPr>
          <w:rFonts w:cstheme="minorHAnsi"/>
          <w:color w:val="000000" w:themeColor="text1"/>
        </w:rPr>
        <w:t>what practices</w:t>
      </w:r>
      <w:r w:rsidR="0063435D" w:rsidRPr="00905CFA">
        <w:rPr>
          <w:rFonts w:cstheme="minorHAnsi"/>
          <w:color w:val="000000" w:themeColor="text1"/>
        </w:rPr>
        <w:t xml:space="preserve"> the organization is performing</w:t>
      </w:r>
      <w:r w:rsidR="00E926A8" w:rsidRPr="00905CFA">
        <w:rPr>
          <w:rFonts w:cstheme="minorHAnsi"/>
          <w:color w:val="000000" w:themeColor="text1"/>
        </w:rPr>
        <w:t>, and at what level of maturity</w:t>
      </w:r>
      <w:r w:rsidR="004C1ABA" w:rsidRPr="00905CFA">
        <w:rPr>
          <w:rFonts w:cstheme="minorHAnsi"/>
          <w:color w:val="000000" w:themeColor="text1"/>
        </w:rPr>
        <w:t xml:space="preserve"> (how well they are performing them)</w:t>
      </w:r>
      <w:r w:rsidR="00E926A8" w:rsidRPr="00905CFA">
        <w:rPr>
          <w:rFonts w:cstheme="minorHAnsi"/>
          <w:color w:val="000000" w:themeColor="text1"/>
        </w:rPr>
        <w:t xml:space="preserve">. </w:t>
      </w:r>
    </w:p>
    <w:p w14:paraId="5C7CAE20" w14:textId="7D5A84D0" w:rsidR="0063435D" w:rsidRPr="00905CFA" w:rsidRDefault="00AE24E1" w:rsidP="00E926A8">
      <w:pPr>
        <w:pStyle w:val="ListParagraph"/>
        <w:numPr>
          <w:ilvl w:val="0"/>
          <w:numId w:val="1"/>
        </w:numPr>
        <w:autoSpaceDE w:val="0"/>
        <w:autoSpaceDN w:val="0"/>
        <w:adjustRightInd w:val="0"/>
        <w:rPr>
          <w:rFonts w:cstheme="minorHAnsi"/>
          <w:color w:val="000000" w:themeColor="text1"/>
        </w:rPr>
      </w:pPr>
      <w:r w:rsidRPr="00905CFA">
        <w:rPr>
          <w:rFonts w:cstheme="minorHAnsi"/>
          <w:b/>
          <w:color w:val="000000" w:themeColor="text1"/>
        </w:rPr>
        <w:t xml:space="preserve">Business Value: </w:t>
      </w:r>
      <w:r w:rsidR="0063435D" w:rsidRPr="00905CFA">
        <w:rPr>
          <w:rFonts w:cstheme="minorHAnsi"/>
          <w:color w:val="000000" w:themeColor="text1"/>
        </w:rPr>
        <w:t>Each practice statement has an embedded business value statement</w:t>
      </w:r>
      <w:r w:rsidR="004C1ABA" w:rsidRPr="00905CFA">
        <w:rPr>
          <w:rFonts w:cstheme="minorHAnsi"/>
          <w:color w:val="000000" w:themeColor="text1"/>
        </w:rPr>
        <w:t xml:space="preserve"> </w:t>
      </w:r>
      <w:r w:rsidR="0063435D" w:rsidRPr="00905CFA">
        <w:rPr>
          <w:rFonts w:cstheme="minorHAnsi"/>
          <w:color w:val="000000" w:themeColor="text1"/>
        </w:rPr>
        <w:t xml:space="preserve">describing </w:t>
      </w:r>
      <w:r w:rsidR="00E95E26" w:rsidRPr="00905CFA">
        <w:rPr>
          <w:rFonts w:cstheme="minorHAnsi"/>
          <w:color w:val="000000" w:themeColor="text1"/>
        </w:rPr>
        <w:t xml:space="preserve">what </w:t>
      </w:r>
      <w:r w:rsidR="004C1ABA" w:rsidRPr="00905CFA">
        <w:rPr>
          <w:rFonts w:cstheme="minorHAnsi"/>
          <w:color w:val="000000" w:themeColor="text1"/>
        </w:rPr>
        <w:t>R</w:t>
      </w:r>
      <w:r w:rsidR="00E95E26" w:rsidRPr="00905CFA">
        <w:rPr>
          <w:rFonts w:cstheme="minorHAnsi"/>
          <w:color w:val="000000" w:themeColor="text1"/>
        </w:rPr>
        <w:t xml:space="preserve">eturn </w:t>
      </w:r>
      <w:r w:rsidR="004C1ABA" w:rsidRPr="00905CFA">
        <w:rPr>
          <w:rFonts w:cstheme="minorHAnsi"/>
          <w:color w:val="000000" w:themeColor="text1"/>
        </w:rPr>
        <w:t>O</w:t>
      </w:r>
      <w:r w:rsidR="00E95E26" w:rsidRPr="00905CFA">
        <w:rPr>
          <w:rFonts w:cstheme="minorHAnsi"/>
          <w:color w:val="000000" w:themeColor="text1"/>
        </w:rPr>
        <w:t xml:space="preserve">n </w:t>
      </w:r>
      <w:r w:rsidR="004C1ABA" w:rsidRPr="00905CFA">
        <w:rPr>
          <w:rFonts w:cstheme="minorHAnsi"/>
          <w:color w:val="000000" w:themeColor="text1"/>
        </w:rPr>
        <w:t>I</w:t>
      </w:r>
      <w:r w:rsidR="00E95E26" w:rsidRPr="00905CFA">
        <w:rPr>
          <w:rFonts w:cstheme="minorHAnsi"/>
          <w:color w:val="000000" w:themeColor="text1"/>
        </w:rPr>
        <w:t xml:space="preserve">nvestment (ROI) </w:t>
      </w:r>
      <w:r w:rsidR="00CF5B4E" w:rsidRPr="00905CFA">
        <w:rPr>
          <w:rFonts w:cstheme="minorHAnsi"/>
          <w:color w:val="000000" w:themeColor="text1"/>
        </w:rPr>
        <w:t>a</w:t>
      </w:r>
      <w:r w:rsidR="00E95E26" w:rsidRPr="00905CFA">
        <w:rPr>
          <w:rFonts w:cstheme="minorHAnsi"/>
          <w:color w:val="000000" w:themeColor="text1"/>
        </w:rPr>
        <w:t xml:space="preserve"> business </w:t>
      </w:r>
      <w:r w:rsidR="00CF5B4E" w:rsidRPr="00905CFA">
        <w:rPr>
          <w:rFonts w:cstheme="minorHAnsi"/>
          <w:color w:val="000000" w:themeColor="text1"/>
        </w:rPr>
        <w:t xml:space="preserve">should </w:t>
      </w:r>
      <w:r w:rsidR="00E95E26" w:rsidRPr="00905CFA">
        <w:rPr>
          <w:rFonts w:cstheme="minorHAnsi"/>
          <w:color w:val="000000" w:themeColor="text1"/>
        </w:rPr>
        <w:t xml:space="preserve">get when </w:t>
      </w:r>
      <w:r w:rsidR="004C1ABA" w:rsidRPr="00905CFA">
        <w:rPr>
          <w:rFonts w:cstheme="minorHAnsi"/>
          <w:color w:val="000000" w:themeColor="text1"/>
        </w:rPr>
        <w:t xml:space="preserve">performing </w:t>
      </w:r>
      <w:r w:rsidR="00E95E26" w:rsidRPr="00905CFA">
        <w:rPr>
          <w:rFonts w:cstheme="minorHAnsi"/>
          <w:color w:val="000000" w:themeColor="text1"/>
        </w:rPr>
        <w:t xml:space="preserve">that practice. </w:t>
      </w:r>
      <w:r w:rsidR="009A2B6E" w:rsidRPr="00905CFA">
        <w:rPr>
          <w:rFonts w:cstheme="minorHAnsi"/>
          <w:color w:val="000000" w:themeColor="text1"/>
        </w:rPr>
        <w:t xml:space="preserve">This becomes the required “litmus test” for whether the organization is actually performing the practice—if there’s no evidence the business value is being achieved, the practice is not being performed, or not performed correctly. </w:t>
      </w:r>
    </w:p>
    <w:p w14:paraId="0D4A3542" w14:textId="14A62277" w:rsidR="009A2B6E" w:rsidRPr="00905CFA" w:rsidRDefault="00AE24E1" w:rsidP="009A2B6E">
      <w:pPr>
        <w:pStyle w:val="ListParagraph"/>
        <w:numPr>
          <w:ilvl w:val="0"/>
          <w:numId w:val="1"/>
        </w:numPr>
        <w:autoSpaceDE w:val="0"/>
        <w:autoSpaceDN w:val="0"/>
        <w:adjustRightInd w:val="0"/>
        <w:rPr>
          <w:rFonts w:cstheme="minorHAnsi"/>
          <w:color w:val="000000" w:themeColor="text1"/>
        </w:rPr>
      </w:pPr>
      <w:r w:rsidRPr="00905CFA">
        <w:rPr>
          <w:rFonts w:cstheme="minorHAnsi"/>
          <w:b/>
          <w:color w:val="000000" w:themeColor="text1"/>
        </w:rPr>
        <w:t>Performance Analysis:</w:t>
      </w:r>
      <w:r w:rsidRPr="00905CFA">
        <w:rPr>
          <w:rFonts w:cstheme="minorHAnsi"/>
          <w:color w:val="000000" w:themeColor="text1"/>
        </w:rPr>
        <w:t xml:space="preserve"> Performance reports</w:t>
      </w:r>
      <w:r w:rsidR="009A2B6E" w:rsidRPr="00905CFA">
        <w:rPr>
          <w:rFonts w:cstheme="minorHAnsi"/>
          <w:color w:val="000000" w:themeColor="text1"/>
        </w:rPr>
        <w:t xml:space="preserve"> determine whether an organization is meeting stated business objectives and, where it isn’t, </w:t>
      </w:r>
      <w:r w:rsidR="004C1ABA" w:rsidRPr="00905CFA">
        <w:rPr>
          <w:rFonts w:cstheme="minorHAnsi"/>
          <w:color w:val="000000" w:themeColor="text1"/>
        </w:rPr>
        <w:t xml:space="preserve">provides them with a roadmap to conduct </w:t>
      </w:r>
      <w:r w:rsidR="009A2B6E" w:rsidRPr="00905CFA">
        <w:rPr>
          <w:rFonts w:cstheme="minorHAnsi"/>
          <w:color w:val="000000" w:themeColor="text1"/>
        </w:rPr>
        <w:t xml:space="preserve">a deep-dive analysis to identify gaps in the process and practices involved. </w:t>
      </w:r>
    </w:p>
    <w:p w14:paraId="4E47B032" w14:textId="3B4620BC" w:rsidR="00E95E26" w:rsidRPr="00905CFA" w:rsidRDefault="00F1734D" w:rsidP="00E926A8">
      <w:pPr>
        <w:pStyle w:val="ListParagraph"/>
        <w:numPr>
          <w:ilvl w:val="0"/>
          <w:numId w:val="1"/>
        </w:numPr>
        <w:autoSpaceDE w:val="0"/>
        <w:autoSpaceDN w:val="0"/>
        <w:adjustRightInd w:val="0"/>
        <w:rPr>
          <w:rFonts w:cstheme="minorHAnsi"/>
          <w:color w:val="000000" w:themeColor="text1"/>
        </w:rPr>
      </w:pPr>
      <w:r w:rsidRPr="00905CFA">
        <w:rPr>
          <w:rFonts w:cstheme="minorHAnsi"/>
          <w:b/>
          <w:color w:val="000000" w:themeColor="text1"/>
        </w:rPr>
        <w:t>Appraisal</w:t>
      </w:r>
      <w:r w:rsidR="00AE24E1" w:rsidRPr="00905CFA">
        <w:rPr>
          <w:rFonts w:cstheme="minorHAnsi"/>
          <w:b/>
          <w:color w:val="000000" w:themeColor="text1"/>
        </w:rPr>
        <w:t>:</w:t>
      </w:r>
      <w:r w:rsidR="00AE24E1" w:rsidRPr="00905CFA">
        <w:rPr>
          <w:rFonts w:cstheme="minorHAnsi"/>
          <w:color w:val="000000" w:themeColor="text1"/>
        </w:rPr>
        <w:t xml:space="preserve"> </w:t>
      </w:r>
      <w:r w:rsidR="00EA6A56" w:rsidRPr="00905CFA">
        <w:rPr>
          <w:rFonts w:cstheme="minorHAnsi"/>
          <w:color w:val="000000" w:themeColor="text1"/>
        </w:rPr>
        <w:t>Optional</w:t>
      </w:r>
      <w:r w:rsidR="00AE24E1" w:rsidRPr="00905CFA">
        <w:rPr>
          <w:rFonts w:cstheme="minorHAnsi"/>
          <w:color w:val="000000" w:themeColor="text1"/>
        </w:rPr>
        <w:t xml:space="preserve"> </w:t>
      </w:r>
      <w:r w:rsidR="00EA6A56" w:rsidRPr="00905CFA">
        <w:rPr>
          <w:rFonts w:cstheme="minorHAnsi"/>
          <w:color w:val="000000" w:themeColor="text1"/>
        </w:rPr>
        <w:t xml:space="preserve">assessments of an organization’s CMMI maturity </w:t>
      </w:r>
      <w:r w:rsidR="004C1ABA" w:rsidRPr="00905CFA">
        <w:rPr>
          <w:rFonts w:cstheme="minorHAnsi"/>
          <w:color w:val="000000" w:themeColor="text1"/>
        </w:rPr>
        <w:t xml:space="preserve">and capability </w:t>
      </w:r>
      <w:r w:rsidR="00EA6A56" w:rsidRPr="00905CFA">
        <w:rPr>
          <w:rFonts w:cstheme="minorHAnsi"/>
          <w:color w:val="000000" w:themeColor="text1"/>
        </w:rPr>
        <w:t>level</w:t>
      </w:r>
      <w:r w:rsidR="004C1ABA" w:rsidRPr="00905CFA">
        <w:rPr>
          <w:rFonts w:cstheme="minorHAnsi"/>
          <w:color w:val="000000" w:themeColor="text1"/>
        </w:rPr>
        <w:t>s</w:t>
      </w:r>
      <w:r w:rsidR="00EA6A56" w:rsidRPr="00905CFA">
        <w:rPr>
          <w:rFonts w:cstheme="minorHAnsi"/>
          <w:color w:val="000000" w:themeColor="text1"/>
        </w:rPr>
        <w:t xml:space="preserve"> are conducted by </w:t>
      </w:r>
      <w:r w:rsidR="004C1ABA" w:rsidRPr="00905CFA">
        <w:rPr>
          <w:rFonts w:cstheme="minorHAnsi"/>
          <w:color w:val="000000" w:themeColor="text1"/>
        </w:rPr>
        <w:t xml:space="preserve">certified </w:t>
      </w:r>
      <w:r w:rsidR="00EA6A56" w:rsidRPr="00905CFA">
        <w:rPr>
          <w:rFonts w:cstheme="minorHAnsi"/>
          <w:color w:val="000000" w:themeColor="text1"/>
        </w:rPr>
        <w:t xml:space="preserve">appraisers trained to focus entirely on performance and business value achievement, rather than precise compliance with a standardized process. </w:t>
      </w:r>
    </w:p>
    <w:p w14:paraId="3C511078" w14:textId="405875D0" w:rsidR="00EA6A56" w:rsidRPr="00905CFA" w:rsidRDefault="00EA6A56" w:rsidP="00EA6A56">
      <w:pPr>
        <w:autoSpaceDE w:val="0"/>
        <w:autoSpaceDN w:val="0"/>
        <w:adjustRightInd w:val="0"/>
        <w:rPr>
          <w:rFonts w:cstheme="minorHAnsi"/>
          <w:color w:val="000000" w:themeColor="text1"/>
        </w:rPr>
      </w:pPr>
    </w:p>
    <w:p w14:paraId="1B9A3C60" w14:textId="4484EF4B" w:rsidR="00AC0E4B" w:rsidRPr="00905CFA" w:rsidRDefault="00EA6A56" w:rsidP="00EA6A56">
      <w:pPr>
        <w:autoSpaceDE w:val="0"/>
        <w:autoSpaceDN w:val="0"/>
        <w:adjustRightInd w:val="0"/>
        <w:rPr>
          <w:rFonts w:cstheme="minorHAnsi"/>
          <w:color w:val="000000" w:themeColor="text1"/>
        </w:rPr>
      </w:pPr>
      <w:r w:rsidRPr="00905CFA">
        <w:rPr>
          <w:rFonts w:cstheme="minorHAnsi"/>
          <w:color w:val="000000" w:themeColor="text1"/>
        </w:rPr>
        <w:t xml:space="preserve">The thread running through these elements and tying them all together is </w:t>
      </w:r>
      <w:r w:rsidRPr="00905CFA">
        <w:rPr>
          <w:rFonts w:cstheme="minorHAnsi"/>
          <w:i/>
          <w:color w:val="000000" w:themeColor="text1"/>
        </w:rPr>
        <w:t>business value</w:t>
      </w:r>
      <w:r w:rsidRPr="00905CFA">
        <w:rPr>
          <w:rFonts w:cstheme="minorHAnsi"/>
          <w:color w:val="000000" w:themeColor="text1"/>
        </w:rPr>
        <w:t xml:space="preserve">. While past versions of the CMMI model </w:t>
      </w:r>
      <w:r w:rsidR="00C53E72" w:rsidRPr="00905CFA">
        <w:rPr>
          <w:rFonts w:cstheme="minorHAnsi"/>
          <w:color w:val="000000" w:themeColor="text1"/>
        </w:rPr>
        <w:t xml:space="preserve">evaluated each element separately—in a kind of silo—V2.0 breaks down those walls by viewing all through the lens of relevant business value statements. In fact, even </w:t>
      </w:r>
      <w:r w:rsidR="00AC0E4B" w:rsidRPr="00905CFA">
        <w:rPr>
          <w:rFonts w:cstheme="minorHAnsi"/>
          <w:color w:val="000000" w:themeColor="text1"/>
        </w:rPr>
        <w:t xml:space="preserve">the </w:t>
      </w:r>
      <w:r w:rsidR="00C53E72" w:rsidRPr="00905CFA">
        <w:rPr>
          <w:rFonts w:cstheme="minorHAnsi"/>
          <w:color w:val="000000" w:themeColor="text1"/>
        </w:rPr>
        <w:t xml:space="preserve">training and certification </w:t>
      </w:r>
      <w:r w:rsidR="00AC0E4B" w:rsidRPr="00905CFA">
        <w:rPr>
          <w:rFonts w:cstheme="minorHAnsi"/>
          <w:color w:val="000000" w:themeColor="text1"/>
        </w:rPr>
        <w:t xml:space="preserve">process used for </w:t>
      </w:r>
      <w:r w:rsidR="00C53E72" w:rsidRPr="00905CFA">
        <w:rPr>
          <w:rFonts w:cstheme="minorHAnsi"/>
          <w:color w:val="000000" w:themeColor="text1"/>
        </w:rPr>
        <w:t>appraisers guides them toward that business value focus, as does CMMI’s adoption guidance for the model.</w:t>
      </w:r>
    </w:p>
    <w:p w14:paraId="4804C395" w14:textId="77777777" w:rsidR="00AC0E4B" w:rsidRPr="00905CFA" w:rsidRDefault="00AC0E4B" w:rsidP="00EA6A56">
      <w:pPr>
        <w:autoSpaceDE w:val="0"/>
        <w:autoSpaceDN w:val="0"/>
        <w:adjustRightInd w:val="0"/>
        <w:rPr>
          <w:rFonts w:cstheme="minorHAnsi"/>
          <w:color w:val="000000" w:themeColor="text1"/>
        </w:rPr>
      </w:pPr>
    </w:p>
    <w:p w14:paraId="56D1C9DA" w14:textId="3ADCF5B3" w:rsidR="007234D7" w:rsidRPr="00905CFA" w:rsidRDefault="00087CB9" w:rsidP="00EA6A56">
      <w:pPr>
        <w:autoSpaceDE w:val="0"/>
        <w:autoSpaceDN w:val="0"/>
        <w:adjustRightInd w:val="0"/>
        <w:rPr>
          <w:rFonts w:cstheme="minorHAnsi"/>
          <w:color w:val="000000" w:themeColor="text1"/>
        </w:rPr>
      </w:pPr>
      <w:r w:rsidRPr="00905CFA">
        <w:rPr>
          <w:rFonts w:cstheme="minorHAnsi"/>
          <w:color w:val="000000" w:themeColor="text1"/>
        </w:rPr>
        <w:t xml:space="preserve">In </w:t>
      </w:r>
      <w:r w:rsidR="007234D7" w:rsidRPr="00905CFA">
        <w:rPr>
          <w:rFonts w:cstheme="minorHAnsi"/>
          <w:color w:val="000000" w:themeColor="text1"/>
        </w:rPr>
        <w:t>this way, V2.0 integrates the CMMI model’s traditionally thorough process analysis with an equally detailed performance analysis, creating a more holistic view that better reflects the complexit</w:t>
      </w:r>
      <w:r w:rsidR="00E71482" w:rsidRPr="00905CFA">
        <w:rPr>
          <w:rFonts w:cstheme="minorHAnsi"/>
          <w:color w:val="000000" w:themeColor="text1"/>
        </w:rPr>
        <w:t>ies</w:t>
      </w:r>
      <w:r w:rsidR="007234D7" w:rsidRPr="00905CFA">
        <w:rPr>
          <w:rFonts w:cstheme="minorHAnsi"/>
          <w:color w:val="000000" w:themeColor="text1"/>
        </w:rPr>
        <w:t xml:space="preserve"> of the real-world. </w:t>
      </w:r>
      <w:r w:rsidR="00E71482" w:rsidRPr="00905CFA">
        <w:rPr>
          <w:rFonts w:cstheme="minorHAnsi"/>
          <w:color w:val="000000" w:themeColor="text1"/>
        </w:rPr>
        <w:t xml:space="preserve">It’s that holistic, integrated view that enables V2.0 users to rapidly pinpoint root causes of poor performance—and fix them.  </w:t>
      </w:r>
    </w:p>
    <w:p w14:paraId="74EDC530" w14:textId="36C73EA9" w:rsidR="00EA6A56" w:rsidRPr="00905CFA" w:rsidRDefault="00EA6A56" w:rsidP="00EA6A56">
      <w:pPr>
        <w:autoSpaceDE w:val="0"/>
        <w:autoSpaceDN w:val="0"/>
        <w:adjustRightInd w:val="0"/>
        <w:rPr>
          <w:rFonts w:cstheme="minorHAnsi"/>
          <w:color w:val="000000" w:themeColor="text1"/>
        </w:rPr>
      </w:pPr>
    </w:p>
    <w:p w14:paraId="62449EE4" w14:textId="524680B7" w:rsidR="00087CB9" w:rsidRPr="00905CFA" w:rsidRDefault="00087CB9" w:rsidP="00087CB9">
      <w:pPr>
        <w:autoSpaceDE w:val="0"/>
        <w:autoSpaceDN w:val="0"/>
        <w:adjustRightInd w:val="0"/>
        <w:rPr>
          <w:rFonts w:cstheme="minorHAnsi"/>
          <w:color w:val="000000" w:themeColor="text1"/>
        </w:rPr>
      </w:pPr>
      <w:r w:rsidRPr="00905CFA">
        <w:rPr>
          <w:rFonts w:cstheme="minorHAnsi"/>
          <w:color w:val="000000" w:themeColor="text1"/>
        </w:rPr>
        <w:t xml:space="preserve">In one real-life </w:t>
      </w:r>
      <w:r w:rsidR="00E71482" w:rsidRPr="00905CFA">
        <w:rPr>
          <w:rFonts w:cstheme="minorHAnsi"/>
          <w:color w:val="000000" w:themeColor="text1"/>
        </w:rPr>
        <w:t>example</w:t>
      </w:r>
      <w:r w:rsidRPr="00905CFA">
        <w:rPr>
          <w:rFonts w:cstheme="minorHAnsi"/>
          <w:color w:val="000000" w:themeColor="text1"/>
        </w:rPr>
        <w:t>, a performance report revealed that just two out of a manufacturer’s 17 component suppliers for a particular product were responsible for 70% of component defects, leading to a significant increase in quality yield for the manufacturer.</w:t>
      </w:r>
      <w:r w:rsidR="00BA22B6" w:rsidRPr="00905CFA">
        <w:rPr>
          <w:rFonts w:cstheme="minorHAnsi"/>
          <w:color w:val="000000" w:themeColor="text1"/>
        </w:rPr>
        <w:t xml:space="preserve">  The organization was not aware of this fact, and once they understood it, were able to take concrete steps to dramatically reduce their supplier defect rate.</w:t>
      </w:r>
    </w:p>
    <w:p w14:paraId="6506DCAE" w14:textId="534CE5DD" w:rsidR="00E71482" w:rsidRPr="00905CFA" w:rsidRDefault="00E71482" w:rsidP="00087CB9">
      <w:pPr>
        <w:autoSpaceDE w:val="0"/>
        <w:autoSpaceDN w:val="0"/>
        <w:adjustRightInd w:val="0"/>
        <w:rPr>
          <w:rFonts w:cstheme="minorHAnsi"/>
          <w:color w:val="000000" w:themeColor="text1"/>
        </w:rPr>
      </w:pPr>
    </w:p>
    <w:p w14:paraId="481B2348" w14:textId="7F26B332" w:rsidR="00E71482" w:rsidRPr="00905CFA" w:rsidRDefault="00F41B0A" w:rsidP="00087CB9">
      <w:pPr>
        <w:autoSpaceDE w:val="0"/>
        <w:autoSpaceDN w:val="0"/>
        <w:adjustRightInd w:val="0"/>
        <w:rPr>
          <w:rFonts w:cstheme="minorHAnsi"/>
          <w:color w:val="000000" w:themeColor="text1"/>
        </w:rPr>
      </w:pPr>
      <w:r w:rsidRPr="00905CFA">
        <w:rPr>
          <w:rFonts w:cstheme="minorHAnsi"/>
          <w:color w:val="000000" w:themeColor="text1"/>
        </w:rPr>
        <w:t>In another</w:t>
      </w:r>
      <w:r w:rsidR="00BA22B6" w:rsidRPr="00905CFA">
        <w:rPr>
          <w:rFonts w:cstheme="minorHAnsi"/>
          <w:color w:val="000000" w:themeColor="text1"/>
        </w:rPr>
        <w:t xml:space="preserve"> example</w:t>
      </w:r>
      <w:r w:rsidRPr="00905CFA">
        <w:rPr>
          <w:rFonts w:cstheme="minorHAnsi"/>
          <w:color w:val="000000" w:themeColor="text1"/>
        </w:rPr>
        <w:t xml:space="preserve">, a contract software developer instituted “gold-standard” peer reviews of its change process in order to comply with </w:t>
      </w:r>
      <w:r w:rsidR="00BA22B6" w:rsidRPr="00905CFA">
        <w:rPr>
          <w:rFonts w:cstheme="minorHAnsi"/>
          <w:color w:val="000000" w:themeColor="text1"/>
        </w:rPr>
        <w:t xml:space="preserve">attaining </w:t>
      </w:r>
      <w:r w:rsidRPr="00905CFA">
        <w:rPr>
          <w:rFonts w:cstheme="minorHAnsi"/>
          <w:color w:val="000000" w:themeColor="text1"/>
        </w:rPr>
        <w:t xml:space="preserve">a </w:t>
      </w:r>
      <w:r w:rsidR="009D4A55" w:rsidRPr="00905CFA">
        <w:rPr>
          <w:rFonts w:cstheme="minorHAnsi"/>
          <w:color w:val="000000" w:themeColor="text1"/>
        </w:rPr>
        <w:t xml:space="preserve">CMMI </w:t>
      </w:r>
      <w:r w:rsidRPr="00905CFA">
        <w:rPr>
          <w:rFonts w:cstheme="minorHAnsi"/>
          <w:color w:val="000000" w:themeColor="text1"/>
        </w:rPr>
        <w:t xml:space="preserve">maturity level. But </w:t>
      </w:r>
      <w:r w:rsidR="009D4A55" w:rsidRPr="00905CFA">
        <w:rPr>
          <w:rFonts w:cstheme="minorHAnsi"/>
          <w:color w:val="000000" w:themeColor="text1"/>
        </w:rPr>
        <w:t>despite its compliance</w:t>
      </w:r>
      <w:r w:rsidR="00BA22B6" w:rsidRPr="00905CFA">
        <w:rPr>
          <w:rFonts w:cstheme="minorHAnsi"/>
          <w:color w:val="000000" w:themeColor="text1"/>
        </w:rPr>
        <w:t>-based focus</w:t>
      </w:r>
      <w:r w:rsidR="009D4A55" w:rsidRPr="00905CFA">
        <w:rPr>
          <w:rFonts w:cstheme="minorHAnsi"/>
          <w:color w:val="000000" w:themeColor="text1"/>
        </w:rPr>
        <w:t xml:space="preserve">, </w:t>
      </w:r>
      <w:r w:rsidRPr="00905CFA">
        <w:rPr>
          <w:rFonts w:cstheme="minorHAnsi"/>
          <w:color w:val="000000" w:themeColor="text1"/>
        </w:rPr>
        <w:t xml:space="preserve">the firm struggled with </w:t>
      </w:r>
      <w:r w:rsidR="006B70E3" w:rsidRPr="00905CFA">
        <w:rPr>
          <w:rFonts w:cstheme="minorHAnsi"/>
          <w:color w:val="000000" w:themeColor="text1"/>
        </w:rPr>
        <w:t>costly rework. When an appraiser refocused the</w:t>
      </w:r>
      <w:r w:rsidR="009D4A55" w:rsidRPr="00905CFA">
        <w:rPr>
          <w:rFonts w:cstheme="minorHAnsi"/>
          <w:color w:val="000000" w:themeColor="text1"/>
        </w:rPr>
        <w:t>m</w:t>
      </w:r>
      <w:r w:rsidR="006B70E3" w:rsidRPr="00905CFA">
        <w:rPr>
          <w:rFonts w:cstheme="minorHAnsi"/>
          <w:color w:val="000000" w:themeColor="text1"/>
        </w:rPr>
        <w:t xml:space="preserve"> on real business results as opposed to passing an appraisal</w:t>
      </w:r>
      <w:r w:rsidR="00BA22B6" w:rsidRPr="00905CFA">
        <w:rPr>
          <w:rFonts w:cstheme="minorHAnsi"/>
          <w:color w:val="000000" w:themeColor="text1"/>
        </w:rPr>
        <w:t xml:space="preserve"> for compliance-purposes</w:t>
      </w:r>
      <w:r w:rsidR="006B70E3" w:rsidRPr="00905CFA">
        <w:rPr>
          <w:rFonts w:cstheme="minorHAnsi"/>
          <w:color w:val="000000" w:themeColor="text1"/>
        </w:rPr>
        <w:t xml:space="preserve">, they managed to root out the cause of their re-work woes: </w:t>
      </w:r>
      <w:r w:rsidR="00BA22B6" w:rsidRPr="00905CFA">
        <w:rPr>
          <w:rFonts w:cstheme="minorHAnsi"/>
          <w:color w:val="000000" w:themeColor="text1"/>
        </w:rPr>
        <w:t xml:space="preserve">In this case, </w:t>
      </w:r>
      <w:r w:rsidR="006B70E3" w:rsidRPr="00905CFA">
        <w:rPr>
          <w:rFonts w:cstheme="minorHAnsi"/>
          <w:color w:val="000000" w:themeColor="text1"/>
        </w:rPr>
        <w:t>“</w:t>
      </w:r>
      <w:r w:rsidR="00AC0E4B" w:rsidRPr="00905CFA">
        <w:rPr>
          <w:rFonts w:cstheme="minorHAnsi"/>
          <w:color w:val="000000" w:themeColor="text1"/>
        </w:rPr>
        <w:t>New</w:t>
      </w:r>
      <w:r w:rsidR="006B70E3" w:rsidRPr="00905CFA">
        <w:rPr>
          <w:rFonts w:cstheme="minorHAnsi"/>
          <w:color w:val="000000" w:themeColor="text1"/>
        </w:rPr>
        <w:t>” changes, previously lumped together with “</w:t>
      </w:r>
      <w:r w:rsidR="00BA22B6" w:rsidRPr="00905CFA">
        <w:rPr>
          <w:rFonts w:cstheme="minorHAnsi"/>
          <w:color w:val="000000" w:themeColor="text1"/>
        </w:rPr>
        <w:t>F</w:t>
      </w:r>
      <w:r w:rsidR="006B70E3" w:rsidRPr="00905CFA">
        <w:rPr>
          <w:rFonts w:cstheme="minorHAnsi"/>
          <w:color w:val="000000" w:themeColor="text1"/>
        </w:rPr>
        <w:t>ix” changes, were the culprits</w:t>
      </w:r>
      <w:r w:rsidR="00BA22B6" w:rsidRPr="00905CFA">
        <w:rPr>
          <w:rFonts w:cstheme="minorHAnsi"/>
          <w:color w:val="000000" w:themeColor="text1"/>
        </w:rPr>
        <w:t xml:space="preserve"> driving the rework</w:t>
      </w:r>
      <w:r w:rsidR="006B70E3" w:rsidRPr="00905CFA">
        <w:rPr>
          <w:rFonts w:cstheme="minorHAnsi"/>
          <w:color w:val="000000" w:themeColor="text1"/>
        </w:rPr>
        <w:t xml:space="preserve">. That </w:t>
      </w:r>
      <w:r w:rsidR="008D625B" w:rsidRPr="00905CFA">
        <w:rPr>
          <w:rFonts w:cstheme="minorHAnsi"/>
          <w:color w:val="000000" w:themeColor="text1"/>
        </w:rPr>
        <w:t xml:space="preserve">knowledge </w:t>
      </w:r>
      <w:r w:rsidR="006B70E3" w:rsidRPr="00905CFA">
        <w:rPr>
          <w:rFonts w:cstheme="minorHAnsi"/>
          <w:color w:val="000000" w:themeColor="text1"/>
        </w:rPr>
        <w:t xml:space="preserve">led to solutions that lowered the developer’s cost by 40% while actually increasing the speed and quality of each deliverable. </w:t>
      </w:r>
      <w:r w:rsidR="00DB1C7A" w:rsidRPr="00905CFA">
        <w:rPr>
          <w:rFonts w:cstheme="minorHAnsi"/>
          <w:color w:val="000000" w:themeColor="text1"/>
        </w:rPr>
        <w:t xml:space="preserve">Further, by so significantly reducing its internal workload, the developer was able to take on more projects, resulting in large revenue and profit gains. </w:t>
      </w:r>
      <w:r w:rsidRPr="00905CFA">
        <w:rPr>
          <w:rFonts w:cstheme="minorHAnsi"/>
          <w:color w:val="000000" w:themeColor="text1"/>
        </w:rPr>
        <w:t xml:space="preserve">  </w:t>
      </w:r>
    </w:p>
    <w:p w14:paraId="79643DB7" w14:textId="29D4AE3F" w:rsidR="00C53E72" w:rsidRPr="00905CFA" w:rsidRDefault="00C53E72" w:rsidP="00EA6A56">
      <w:pPr>
        <w:autoSpaceDE w:val="0"/>
        <w:autoSpaceDN w:val="0"/>
        <w:adjustRightInd w:val="0"/>
        <w:rPr>
          <w:rFonts w:cstheme="minorHAnsi"/>
          <w:color w:val="000000" w:themeColor="text1"/>
        </w:rPr>
      </w:pPr>
    </w:p>
    <w:p w14:paraId="6B6EFCB8" w14:textId="6BA0B2DD" w:rsidR="00AC0E4B" w:rsidRPr="00905CFA" w:rsidRDefault="00DB1C7A" w:rsidP="00EA6A56">
      <w:pPr>
        <w:autoSpaceDE w:val="0"/>
        <w:autoSpaceDN w:val="0"/>
        <w:adjustRightInd w:val="0"/>
        <w:rPr>
          <w:rFonts w:cstheme="minorHAnsi"/>
          <w:color w:val="000000" w:themeColor="text1"/>
        </w:rPr>
      </w:pPr>
      <w:r w:rsidRPr="00905CFA">
        <w:rPr>
          <w:rFonts w:cstheme="minorHAnsi"/>
          <w:color w:val="000000" w:themeColor="text1"/>
        </w:rPr>
        <w:t xml:space="preserve">All of which brings the discussion back to the paradox at the heart of achieving high performance in today’s context of rapid-fire business evolution. </w:t>
      </w:r>
      <w:r w:rsidR="003A137F" w:rsidRPr="00905CFA">
        <w:rPr>
          <w:rFonts w:cstheme="minorHAnsi"/>
          <w:color w:val="000000" w:themeColor="text1"/>
        </w:rPr>
        <w:t>With its integrated and holistic enterprise view and fine-grained documentation of enterprise practices and procedures, CMMI V2.0 can be a key tool for two separate but related business purposes</w:t>
      </w:r>
      <w:r w:rsidR="00AC0E4B" w:rsidRPr="00905CFA">
        <w:rPr>
          <w:rFonts w:cstheme="minorHAnsi"/>
          <w:color w:val="000000" w:themeColor="text1"/>
        </w:rPr>
        <w:t>:</w:t>
      </w:r>
    </w:p>
    <w:p w14:paraId="0EFACA24" w14:textId="77777777" w:rsidR="00E439AB" w:rsidRPr="00905CFA" w:rsidRDefault="00E439AB" w:rsidP="00EA6A56">
      <w:pPr>
        <w:autoSpaceDE w:val="0"/>
        <w:autoSpaceDN w:val="0"/>
        <w:adjustRightInd w:val="0"/>
        <w:rPr>
          <w:rFonts w:cstheme="minorHAnsi"/>
          <w:color w:val="000000" w:themeColor="text1"/>
        </w:rPr>
      </w:pPr>
    </w:p>
    <w:p w14:paraId="4C9CAC3E" w14:textId="7200AAED" w:rsidR="00AC0E4B" w:rsidRPr="00905CFA" w:rsidRDefault="003A137F" w:rsidP="00FD239C">
      <w:pPr>
        <w:pStyle w:val="ListParagraph"/>
        <w:numPr>
          <w:ilvl w:val="0"/>
          <w:numId w:val="2"/>
        </w:numPr>
        <w:autoSpaceDE w:val="0"/>
        <w:autoSpaceDN w:val="0"/>
        <w:adjustRightInd w:val="0"/>
        <w:rPr>
          <w:rFonts w:cstheme="minorHAnsi"/>
          <w:color w:val="000000" w:themeColor="text1"/>
        </w:rPr>
      </w:pPr>
      <w:r w:rsidRPr="00905CFA">
        <w:rPr>
          <w:rFonts w:cstheme="minorHAnsi"/>
          <w:color w:val="000000" w:themeColor="text1"/>
        </w:rPr>
        <w:t>First, to identify obstacles to high performance and enable fixes that boost performance.</w:t>
      </w:r>
    </w:p>
    <w:p w14:paraId="58028E9E" w14:textId="1EAA35BE" w:rsidR="00630520" w:rsidRPr="00905CFA" w:rsidRDefault="003A137F" w:rsidP="00FD239C">
      <w:pPr>
        <w:pStyle w:val="ListParagraph"/>
        <w:numPr>
          <w:ilvl w:val="0"/>
          <w:numId w:val="2"/>
        </w:numPr>
        <w:autoSpaceDE w:val="0"/>
        <w:autoSpaceDN w:val="0"/>
        <w:adjustRightInd w:val="0"/>
        <w:rPr>
          <w:rFonts w:cstheme="minorHAnsi"/>
          <w:color w:val="000000" w:themeColor="text1"/>
        </w:rPr>
      </w:pPr>
      <w:r w:rsidRPr="00905CFA">
        <w:rPr>
          <w:rFonts w:cstheme="minorHAnsi"/>
          <w:color w:val="000000" w:themeColor="text1"/>
        </w:rPr>
        <w:t>But just as importantly in today’s context, when business conditions shift suddenly</w:t>
      </w:r>
      <w:r w:rsidR="00AC0E4B" w:rsidRPr="00905CFA">
        <w:rPr>
          <w:rFonts w:cstheme="minorHAnsi"/>
          <w:color w:val="000000" w:themeColor="text1"/>
        </w:rPr>
        <w:t>,</w:t>
      </w:r>
      <w:r w:rsidRPr="00905CFA">
        <w:rPr>
          <w:rFonts w:cstheme="minorHAnsi"/>
          <w:color w:val="000000" w:themeColor="text1"/>
        </w:rPr>
        <w:t xml:space="preserve"> V2.0’s enterprise view </w:t>
      </w:r>
      <w:r w:rsidR="00630520" w:rsidRPr="00905CFA">
        <w:rPr>
          <w:rFonts w:cstheme="minorHAnsi"/>
          <w:color w:val="000000" w:themeColor="text1"/>
        </w:rPr>
        <w:t xml:space="preserve">enables rapid development of a roadmap enabling the business to shift into the new wind. </w:t>
      </w:r>
    </w:p>
    <w:p w14:paraId="53141522" w14:textId="77777777" w:rsidR="00630520" w:rsidRPr="00905CFA" w:rsidRDefault="00630520" w:rsidP="00EA6A56">
      <w:pPr>
        <w:autoSpaceDE w:val="0"/>
        <w:autoSpaceDN w:val="0"/>
        <w:adjustRightInd w:val="0"/>
        <w:rPr>
          <w:rFonts w:cstheme="minorHAnsi"/>
          <w:color w:val="000000" w:themeColor="text1"/>
        </w:rPr>
      </w:pPr>
    </w:p>
    <w:p w14:paraId="5F2D5DF5" w14:textId="217F796C" w:rsidR="00DB1C7A" w:rsidRPr="00905CFA" w:rsidRDefault="00630520" w:rsidP="00EA6A56">
      <w:pPr>
        <w:autoSpaceDE w:val="0"/>
        <w:autoSpaceDN w:val="0"/>
        <w:adjustRightInd w:val="0"/>
        <w:rPr>
          <w:rFonts w:cstheme="minorHAnsi"/>
          <w:color w:val="000000" w:themeColor="text1"/>
        </w:rPr>
      </w:pPr>
      <w:r w:rsidRPr="00905CFA">
        <w:rPr>
          <w:rFonts w:cstheme="minorHAnsi"/>
          <w:color w:val="000000" w:themeColor="text1"/>
        </w:rPr>
        <w:t>To borrow from McKinsey, CMMI V2.0 can be the tool supporting both an enterprise’s “stable backbone elements” and its “dynamic capabilities that can adapt quickly to new challenges and opportunities.” That’s high performance and great agility, at the same time</w:t>
      </w:r>
      <w:r w:rsidR="00FD239C" w:rsidRPr="00905CFA">
        <w:rPr>
          <w:rFonts w:cstheme="minorHAnsi"/>
          <w:color w:val="000000" w:themeColor="text1"/>
        </w:rPr>
        <w:t>—just what an enterprise needs for sustainability in this era of constant change</w:t>
      </w:r>
      <w:r w:rsidRPr="00905CFA">
        <w:rPr>
          <w:rFonts w:cstheme="minorHAnsi"/>
          <w:color w:val="000000" w:themeColor="text1"/>
        </w:rPr>
        <w:t xml:space="preserve">.  </w:t>
      </w:r>
      <w:r w:rsidR="003A137F" w:rsidRPr="00905CFA">
        <w:rPr>
          <w:rFonts w:cstheme="minorHAnsi"/>
          <w:color w:val="000000" w:themeColor="text1"/>
        </w:rPr>
        <w:t xml:space="preserve"> </w:t>
      </w:r>
    </w:p>
    <w:p w14:paraId="442427DC" w14:textId="77777777" w:rsidR="00EA6A56" w:rsidRPr="00905CFA" w:rsidRDefault="00EA6A56" w:rsidP="00EA6A56">
      <w:pPr>
        <w:autoSpaceDE w:val="0"/>
        <w:autoSpaceDN w:val="0"/>
        <w:adjustRightInd w:val="0"/>
        <w:rPr>
          <w:rFonts w:cstheme="minorHAnsi"/>
          <w:color w:val="000000" w:themeColor="text1"/>
        </w:rPr>
      </w:pPr>
    </w:p>
    <w:sectPr w:rsidR="00EA6A56" w:rsidRPr="00905CFA" w:rsidSect="003C3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51C8B"/>
    <w:multiLevelType w:val="hybridMultilevel"/>
    <w:tmpl w:val="6AE6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8A0CBC"/>
    <w:multiLevelType w:val="hybridMultilevel"/>
    <w:tmpl w:val="9398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F7"/>
    <w:rsid w:val="00041C86"/>
    <w:rsid w:val="0006428A"/>
    <w:rsid w:val="000873F3"/>
    <w:rsid w:val="00087CB9"/>
    <w:rsid w:val="000B1C2A"/>
    <w:rsid w:val="00106F78"/>
    <w:rsid w:val="00121EA1"/>
    <w:rsid w:val="001257E4"/>
    <w:rsid w:val="0013344A"/>
    <w:rsid w:val="0018774A"/>
    <w:rsid w:val="00196248"/>
    <w:rsid w:val="001B183A"/>
    <w:rsid w:val="001B20FC"/>
    <w:rsid w:val="001C49C7"/>
    <w:rsid w:val="001D3EDA"/>
    <w:rsid w:val="00202F0C"/>
    <w:rsid w:val="0020496E"/>
    <w:rsid w:val="0023554F"/>
    <w:rsid w:val="00243131"/>
    <w:rsid w:val="00254970"/>
    <w:rsid w:val="002602D6"/>
    <w:rsid w:val="00262B36"/>
    <w:rsid w:val="00291234"/>
    <w:rsid w:val="002944AC"/>
    <w:rsid w:val="00296830"/>
    <w:rsid w:val="002C4175"/>
    <w:rsid w:val="002D2400"/>
    <w:rsid w:val="00323040"/>
    <w:rsid w:val="00335927"/>
    <w:rsid w:val="00352DC2"/>
    <w:rsid w:val="0036271B"/>
    <w:rsid w:val="00372C9E"/>
    <w:rsid w:val="00386DAA"/>
    <w:rsid w:val="003A137F"/>
    <w:rsid w:val="003C3CB6"/>
    <w:rsid w:val="003F23AC"/>
    <w:rsid w:val="00401FF6"/>
    <w:rsid w:val="00421E66"/>
    <w:rsid w:val="00436863"/>
    <w:rsid w:val="00450F0D"/>
    <w:rsid w:val="00454418"/>
    <w:rsid w:val="0046653B"/>
    <w:rsid w:val="004717DC"/>
    <w:rsid w:val="00485CEE"/>
    <w:rsid w:val="00493A52"/>
    <w:rsid w:val="004A57EB"/>
    <w:rsid w:val="004C1ABA"/>
    <w:rsid w:val="004C26B9"/>
    <w:rsid w:val="004D5F81"/>
    <w:rsid w:val="004E0BF7"/>
    <w:rsid w:val="005117CB"/>
    <w:rsid w:val="00512B8E"/>
    <w:rsid w:val="00520250"/>
    <w:rsid w:val="0053148F"/>
    <w:rsid w:val="005365B2"/>
    <w:rsid w:val="00561521"/>
    <w:rsid w:val="005622B4"/>
    <w:rsid w:val="00571DEE"/>
    <w:rsid w:val="005779AF"/>
    <w:rsid w:val="0058096B"/>
    <w:rsid w:val="005841B3"/>
    <w:rsid w:val="00596495"/>
    <w:rsid w:val="005C179D"/>
    <w:rsid w:val="005C40AD"/>
    <w:rsid w:val="005D1C08"/>
    <w:rsid w:val="005D1E78"/>
    <w:rsid w:val="005D7532"/>
    <w:rsid w:val="0060059D"/>
    <w:rsid w:val="00612230"/>
    <w:rsid w:val="00630520"/>
    <w:rsid w:val="0063435D"/>
    <w:rsid w:val="006404D9"/>
    <w:rsid w:val="00646CE2"/>
    <w:rsid w:val="00651A19"/>
    <w:rsid w:val="00656AFB"/>
    <w:rsid w:val="0067143C"/>
    <w:rsid w:val="00677D19"/>
    <w:rsid w:val="00696889"/>
    <w:rsid w:val="006A7735"/>
    <w:rsid w:val="006B0CC3"/>
    <w:rsid w:val="006B70E3"/>
    <w:rsid w:val="006B7EAE"/>
    <w:rsid w:val="006C44BA"/>
    <w:rsid w:val="006D6E17"/>
    <w:rsid w:val="00705BF1"/>
    <w:rsid w:val="007234D7"/>
    <w:rsid w:val="00737C89"/>
    <w:rsid w:val="00750D11"/>
    <w:rsid w:val="007541A9"/>
    <w:rsid w:val="00757FF9"/>
    <w:rsid w:val="0076234B"/>
    <w:rsid w:val="00770991"/>
    <w:rsid w:val="007A3280"/>
    <w:rsid w:val="007B3331"/>
    <w:rsid w:val="007D66C8"/>
    <w:rsid w:val="00827A1E"/>
    <w:rsid w:val="00852698"/>
    <w:rsid w:val="00855B30"/>
    <w:rsid w:val="00872507"/>
    <w:rsid w:val="00880BF6"/>
    <w:rsid w:val="0089669C"/>
    <w:rsid w:val="008C74B5"/>
    <w:rsid w:val="008D22D1"/>
    <w:rsid w:val="008D526A"/>
    <w:rsid w:val="008D625B"/>
    <w:rsid w:val="008F1AD4"/>
    <w:rsid w:val="008F3AB6"/>
    <w:rsid w:val="00905CFA"/>
    <w:rsid w:val="009102C6"/>
    <w:rsid w:val="0092373B"/>
    <w:rsid w:val="00945667"/>
    <w:rsid w:val="00960F2C"/>
    <w:rsid w:val="00976281"/>
    <w:rsid w:val="00982F7F"/>
    <w:rsid w:val="009A2B6E"/>
    <w:rsid w:val="009A47DD"/>
    <w:rsid w:val="009A72E1"/>
    <w:rsid w:val="009C5B81"/>
    <w:rsid w:val="009D4A55"/>
    <w:rsid w:val="00A02898"/>
    <w:rsid w:val="00A03507"/>
    <w:rsid w:val="00A545E6"/>
    <w:rsid w:val="00A76AA3"/>
    <w:rsid w:val="00AC0E4B"/>
    <w:rsid w:val="00AD419A"/>
    <w:rsid w:val="00AE0396"/>
    <w:rsid w:val="00AE24E1"/>
    <w:rsid w:val="00B11976"/>
    <w:rsid w:val="00B80D99"/>
    <w:rsid w:val="00B8389D"/>
    <w:rsid w:val="00BA0879"/>
    <w:rsid w:val="00BA22B6"/>
    <w:rsid w:val="00BA6B42"/>
    <w:rsid w:val="00BB6C5D"/>
    <w:rsid w:val="00BC24BF"/>
    <w:rsid w:val="00BE5784"/>
    <w:rsid w:val="00C25306"/>
    <w:rsid w:val="00C35DE3"/>
    <w:rsid w:val="00C53E72"/>
    <w:rsid w:val="00C57229"/>
    <w:rsid w:val="00C5768D"/>
    <w:rsid w:val="00C6217A"/>
    <w:rsid w:val="00C664AE"/>
    <w:rsid w:val="00C91DA0"/>
    <w:rsid w:val="00C95412"/>
    <w:rsid w:val="00CB0844"/>
    <w:rsid w:val="00CF5B4E"/>
    <w:rsid w:val="00D22220"/>
    <w:rsid w:val="00D24C0D"/>
    <w:rsid w:val="00D4621D"/>
    <w:rsid w:val="00DB1C7A"/>
    <w:rsid w:val="00DB73C8"/>
    <w:rsid w:val="00DC5D91"/>
    <w:rsid w:val="00DD3E27"/>
    <w:rsid w:val="00E27295"/>
    <w:rsid w:val="00E30D6B"/>
    <w:rsid w:val="00E355EC"/>
    <w:rsid w:val="00E35C08"/>
    <w:rsid w:val="00E439AB"/>
    <w:rsid w:val="00E703BC"/>
    <w:rsid w:val="00E71482"/>
    <w:rsid w:val="00E86860"/>
    <w:rsid w:val="00E926A8"/>
    <w:rsid w:val="00E95E26"/>
    <w:rsid w:val="00EA6A56"/>
    <w:rsid w:val="00EC6548"/>
    <w:rsid w:val="00ED2F58"/>
    <w:rsid w:val="00EF04C8"/>
    <w:rsid w:val="00F012F4"/>
    <w:rsid w:val="00F1734D"/>
    <w:rsid w:val="00F40447"/>
    <w:rsid w:val="00F41B0A"/>
    <w:rsid w:val="00F505B8"/>
    <w:rsid w:val="00F51188"/>
    <w:rsid w:val="00F53EFC"/>
    <w:rsid w:val="00F76DE7"/>
    <w:rsid w:val="00F920E8"/>
    <w:rsid w:val="00FB754A"/>
    <w:rsid w:val="00FB79C1"/>
    <w:rsid w:val="00FD239C"/>
    <w:rsid w:val="00FD3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38A4"/>
  <w15:chartTrackingRefBased/>
  <w15:docId w15:val="{5726C7EE-EB01-844C-884A-E8695436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0BF6"/>
    <w:rPr>
      <w:color w:val="0563C1" w:themeColor="hyperlink"/>
      <w:u w:val="single"/>
    </w:rPr>
  </w:style>
  <w:style w:type="character" w:styleId="UnresolvedMention">
    <w:name w:val="Unresolved Mention"/>
    <w:basedOn w:val="DefaultParagraphFont"/>
    <w:uiPriority w:val="99"/>
    <w:rsid w:val="00880BF6"/>
    <w:rPr>
      <w:color w:val="605E5C"/>
      <w:shd w:val="clear" w:color="auto" w:fill="E1DFDD"/>
    </w:rPr>
  </w:style>
  <w:style w:type="paragraph" w:styleId="ListParagraph">
    <w:name w:val="List Paragraph"/>
    <w:basedOn w:val="Normal"/>
    <w:uiPriority w:val="34"/>
    <w:qFormat/>
    <w:rsid w:val="00E926A8"/>
    <w:pPr>
      <w:ind w:left="720"/>
      <w:contextualSpacing/>
    </w:pPr>
  </w:style>
  <w:style w:type="character" w:styleId="FollowedHyperlink">
    <w:name w:val="FollowedHyperlink"/>
    <w:basedOn w:val="DefaultParagraphFont"/>
    <w:uiPriority w:val="99"/>
    <w:semiHidden/>
    <w:unhideWhenUsed/>
    <w:rsid w:val="00750D11"/>
    <w:rPr>
      <w:color w:val="954F72" w:themeColor="followedHyperlink"/>
      <w:u w:val="single"/>
    </w:rPr>
  </w:style>
  <w:style w:type="paragraph" w:styleId="BalloonText">
    <w:name w:val="Balloon Text"/>
    <w:basedOn w:val="Normal"/>
    <w:link w:val="BalloonTextChar"/>
    <w:uiPriority w:val="99"/>
    <w:semiHidden/>
    <w:unhideWhenUsed/>
    <w:rsid w:val="00AC0E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E4B"/>
    <w:rPr>
      <w:rFonts w:ascii="Segoe UI" w:hAnsi="Segoe UI" w:cs="Segoe UI"/>
      <w:sz w:val="18"/>
      <w:szCs w:val="18"/>
    </w:rPr>
  </w:style>
  <w:style w:type="character" w:styleId="CommentReference">
    <w:name w:val="annotation reference"/>
    <w:basedOn w:val="DefaultParagraphFont"/>
    <w:uiPriority w:val="99"/>
    <w:semiHidden/>
    <w:unhideWhenUsed/>
    <w:rsid w:val="004C1ABA"/>
    <w:rPr>
      <w:sz w:val="16"/>
      <w:szCs w:val="16"/>
    </w:rPr>
  </w:style>
  <w:style w:type="paragraph" w:styleId="CommentText">
    <w:name w:val="annotation text"/>
    <w:basedOn w:val="Normal"/>
    <w:link w:val="CommentTextChar"/>
    <w:uiPriority w:val="99"/>
    <w:semiHidden/>
    <w:unhideWhenUsed/>
    <w:rsid w:val="004C1ABA"/>
    <w:rPr>
      <w:sz w:val="20"/>
      <w:szCs w:val="20"/>
    </w:rPr>
  </w:style>
  <w:style w:type="character" w:customStyle="1" w:styleId="CommentTextChar">
    <w:name w:val="Comment Text Char"/>
    <w:basedOn w:val="DefaultParagraphFont"/>
    <w:link w:val="CommentText"/>
    <w:uiPriority w:val="99"/>
    <w:semiHidden/>
    <w:rsid w:val="004C1ABA"/>
    <w:rPr>
      <w:sz w:val="20"/>
      <w:szCs w:val="20"/>
    </w:rPr>
  </w:style>
  <w:style w:type="paragraph" w:styleId="CommentSubject">
    <w:name w:val="annotation subject"/>
    <w:basedOn w:val="CommentText"/>
    <w:next w:val="CommentText"/>
    <w:link w:val="CommentSubjectChar"/>
    <w:uiPriority w:val="99"/>
    <w:semiHidden/>
    <w:unhideWhenUsed/>
    <w:rsid w:val="004C1ABA"/>
    <w:rPr>
      <w:b/>
      <w:bCs/>
    </w:rPr>
  </w:style>
  <w:style w:type="character" w:customStyle="1" w:styleId="CommentSubjectChar">
    <w:name w:val="Comment Subject Char"/>
    <w:basedOn w:val="CommentTextChar"/>
    <w:link w:val="CommentSubject"/>
    <w:uiPriority w:val="99"/>
    <w:semiHidden/>
    <w:rsid w:val="004C1A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78954">
      <w:bodyDiv w:val="1"/>
      <w:marLeft w:val="0"/>
      <w:marRight w:val="0"/>
      <w:marTop w:val="0"/>
      <w:marBottom w:val="0"/>
      <w:divBdr>
        <w:top w:val="none" w:sz="0" w:space="0" w:color="auto"/>
        <w:left w:val="none" w:sz="0" w:space="0" w:color="auto"/>
        <w:bottom w:val="none" w:sz="0" w:space="0" w:color="auto"/>
        <w:right w:val="none" w:sz="0" w:space="0" w:color="auto"/>
      </w:divBdr>
    </w:div>
    <w:div w:id="1358046081">
      <w:bodyDiv w:val="1"/>
      <w:marLeft w:val="0"/>
      <w:marRight w:val="0"/>
      <w:marTop w:val="0"/>
      <w:marBottom w:val="0"/>
      <w:divBdr>
        <w:top w:val="none" w:sz="0" w:space="0" w:color="auto"/>
        <w:left w:val="none" w:sz="0" w:space="0" w:color="auto"/>
        <w:bottom w:val="none" w:sz="0" w:space="0" w:color="auto"/>
        <w:right w:val="none" w:sz="0" w:space="0" w:color="auto"/>
      </w:divBdr>
    </w:div>
    <w:div w:id="167360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kinsey.com/business-functions/organization/our-insights/the-five-trademarks-of-agile-organizations" TargetMode="External"/><Relationship Id="rId3" Type="http://schemas.openxmlformats.org/officeDocument/2006/relationships/settings" Target="settings.xml"/><Relationship Id="rId7" Type="http://schemas.openxmlformats.org/officeDocument/2006/relationships/hyperlink" Target="https://www.goodreads.com/quotes/22749-before-i-go-on-with-this-short-history-let-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ei.org/publication/fortune-500-firms-1955-v-2017-only-12-remain-thanks-to-the-creative-destruction-that-fuels-economic-prosperity/"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mmiinstitute.com/cm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Azzara</dc:creator>
  <cp:keywords/>
  <dc:description/>
  <cp:lastModifiedBy>Ana Balmert</cp:lastModifiedBy>
  <cp:revision>10</cp:revision>
  <cp:lastPrinted>2019-01-07T17:56:00Z</cp:lastPrinted>
  <dcterms:created xsi:type="dcterms:W3CDTF">2019-01-14T14:28:00Z</dcterms:created>
  <dcterms:modified xsi:type="dcterms:W3CDTF">2019-01-14T14:46:00Z</dcterms:modified>
</cp:coreProperties>
</file>